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893531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893531" w:rsidRPr="00893531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893531" w:rsidRPr="00893531">
        <w:rPr>
          <w:rFonts w:ascii="Arial Unicode" w:hAnsi="Arial Unicode"/>
          <w:b/>
          <w:color w:val="FF0000"/>
          <w:sz w:val="20"/>
          <w:szCs w:val="20"/>
          <w:lang w:val="ru-RU"/>
        </w:rPr>
        <w:t>апреля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93531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89353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ԱԱԾ-ՏՆՏՎ-ԳՀԱՇՁԲ-22/1-ԿՆԻՔ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2F4D7F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РАБОТ ПО </w:t>
      </w:r>
      <w:r w:rsidR="00893531">
        <w:rPr>
          <w:rFonts w:ascii="Arial Unicode" w:hAnsi="Arial Unicode"/>
          <w:b/>
          <w:color w:val="FF0000"/>
          <w:sz w:val="20"/>
          <w:szCs w:val="20"/>
          <w:lang w:val="ru-RU"/>
        </w:rPr>
        <w:t>ИЗГОТОВЛЕНИЮ ПЕЧАТЕЙ И ШТАМПОВ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2F4D7F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РАБОТ ПО </w:t>
      </w:r>
      <w:r w:rsidR="00893531">
        <w:rPr>
          <w:rFonts w:ascii="Arial Unicode" w:hAnsi="Arial Unicode"/>
          <w:b/>
          <w:color w:val="FF0000"/>
          <w:sz w:val="20"/>
          <w:szCs w:val="20"/>
          <w:lang w:val="ru-RU"/>
        </w:rPr>
        <w:t>ИЗГОТОВЛЕНИЮ ПЕЧАТЕЙ И ШТАМПОВ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9353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06.05.2022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EF0443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9353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06.05.2022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89353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ԱԱԾ-ՏՆՏՎ-ԳՀԱՇՁԲ-22/1-ԿՆԻՔ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89353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ԱԱԾ-ՏՆՏՎ-ԳՀԱՇՁԲ-22/1-ԿՆԻՔ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89353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ԱԱԾ-ՏՆՏՎ-ԳՀԱՇՁԲ-22/1-ԿՆԻՔ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89353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89353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A593C"/>
    <w:rsid w:val="000D4358"/>
    <w:rsid w:val="002140C6"/>
    <w:rsid w:val="0022044B"/>
    <w:rsid w:val="00256ED6"/>
    <w:rsid w:val="00280226"/>
    <w:rsid w:val="002B77DF"/>
    <w:rsid w:val="002F4D7F"/>
    <w:rsid w:val="00360D98"/>
    <w:rsid w:val="003F1B5D"/>
    <w:rsid w:val="00427DC0"/>
    <w:rsid w:val="00440C0E"/>
    <w:rsid w:val="00473C98"/>
    <w:rsid w:val="00521A85"/>
    <w:rsid w:val="005323F0"/>
    <w:rsid w:val="0082094B"/>
    <w:rsid w:val="0083763C"/>
    <w:rsid w:val="00893531"/>
    <w:rsid w:val="00966E02"/>
    <w:rsid w:val="009A6AA9"/>
    <w:rsid w:val="00A34E23"/>
    <w:rsid w:val="00A7765E"/>
    <w:rsid w:val="00A944C8"/>
    <w:rsid w:val="00AB2461"/>
    <w:rsid w:val="00AC1887"/>
    <w:rsid w:val="00AC3096"/>
    <w:rsid w:val="00B92FB4"/>
    <w:rsid w:val="00C74803"/>
    <w:rsid w:val="00C96F5C"/>
    <w:rsid w:val="00CA0DC7"/>
    <w:rsid w:val="00D231D2"/>
    <w:rsid w:val="00DB65A8"/>
    <w:rsid w:val="00E144C1"/>
    <w:rsid w:val="00E30510"/>
    <w:rsid w:val="00E91C3A"/>
    <w:rsid w:val="00EA7BFD"/>
    <w:rsid w:val="00EF0443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18</cp:revision>
  <cp:lastPrinted>2022-04-27T06:06:00Z</cp:lastPrinted>
  <dcterms:created xsi:type="dcterms:W3CDTF">2019-06-20T08:10:00Z</dcterms:created>
  <dcterms:modified xsi:type="dcterms:W3CDTF">2022-04-27T06:06:00Z</dcterms:modified>
</cp:coreProperties>
</file>